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A06B4" w14:textId="65ED47D0" w:rsidR="00B54550" w:rsidRDefault="00FD3218">
      <w:pPr>
        <w:rPr>
          <w:rFonts w:ascii="AgfaRotisSansSerif" w:eastAsia="Times New Roman" w:hAnsi="AgfaRotisSansSerif" w:cs="AgfaRotisSansSerif"/>
          <w:b/>
          <w:szCs w:val="20"/>
          <w:lang w:eastAsia="de-DE" w:bidi="ar-SA"/>
        </w:rPr>
      </w:pPr>
      <w:r>
        <w:rPr>
          <w:rFonts w:ascii="AgfaRotisSansSerif" w:eastAsia="Times New Roman" w:hAnsi="AgfaRotisSansSerif" w:cs="AgfaRotisSansSerif"/>
          <w:b/>
          <w:szCs w:val="20"/>
          <w:lang w:eastAsia="de-DE" w:bidi="ar-SA"/>
        </w:rPr>
        <w:tab/>
      </w:r>
      <w:r>
        <w:rPr>
          <w:rFonts w:ascii="AgfaRotisSansSerif" w:eastAsia="Times New Roman" w:hAnsi="AgfaRotisSansSerif" w:cs="AgfaRotisSansSerif"/>
          <w:b/>
          <w:szCs w:val="20"/>
          <w:lang w:eastAsia="de-DE" w:bidi="ar-SA"/>
        </w:rPr>
        <w:tab/>
      </w:r>
      <w:r>
        <w:rPr>
          <w:rFonts w:ascii="AgfaRotisSansSerif" w:eastAsia="Times New Roman" w:hAnsi="AgfaRotisSansSerif" w:cs="AgfaRotisSansSerif"/>
          <w:b/>
          <w:szCs w:val="20"/>
          <w:lang w:eastAsia="de-DE" w:bidi="ar-SA"/>
        </w:rPr>
        <w:tab/>
      </w:r>
      <w:r>
        <w:rPr>
          <w:rFonts w:ascii="AgfaRotisSansSerif" w:eastAsia="Times New Roman" w:hAnsi="AgfaRotisSansSerif" w:cs="AgfaRotisSansSerif"/>
          <w:b/>
          <w:szCs w:val="20"/>
          <w:lang w:eastAsia="de-DE" w:bidi="ar-SA"/>
        </w:rPr>
        <w:tab/>
      </w:r>
      <w:r>
        <w:rPr>
          <w:rFonts w:ascii="AgfaRotisSansSerif" w:eastAsia="Times New Roman" w:hAnsi="AgfaRotisSansSerif" w:cs="AgfaRotisSansSerif"/>
          <w:b/>
          <w:szCs w:val="20"/>
          <w:lang w:eastAsia="de-DE" w:bidi="ar-SA"/>
        </w:rPr>
        <w:tab/>
      </w:r>
      <w:r>
        <w:rPr>
          <w:rFonts w:ascii="AgfaRotisSansSerif" w:eastAsia="Times New Roman" w:hAnsi="AgfaRotisSansSerif" w:cs="AgfaRotisSansSerif"/>
          <w:b/>
          <w:szCs w:val="20"/>
          <w:lang w:eastAsia="de-DE" w:bidi="ar-SA"/>
        </w:rPr>
        <w:tab/>
      </w:r>
      <w:r>
        <w:rPr>
          <w:rFonts w:ascii="AgfaRotisSansSerif" w:eastAsia="Times New Roman" w:hAnsi="AgfaRotisSansSerif" w:cs="AgfaRotisSansSerif"/>
          <w:b/>
          <w:szCs w:val="20"/>
          <w:lang w:eastAsia="de-DE" w:bidi="ar-SA"/>
        </w:rPr>
        <w:tab/>
      </w:r>
      <w:r>
        <w:rPr>
          <w:rFonts w:ascii="AgfaRotisSansSerif" w:eastAsia="Times New Roman" w:hAnsi="AgfaRotisSansSerif" w:cs="AgfaRotisSansSerif"/>
          <w:b/>
          <w:szCs w:val="20"/>
          <w:lang w:eastAsia="de-DE" w:bidi="ar-SA"/>
        </w:rPr>
        <w:tab/>
      </w:r>
      <w:r>
        <w:rPr>
          <w:rFonts w:ascii="AgfaRotisSansSerif" w:eastAsia="Times New Roman" w:hAnsi="AgfaRotisSansSerif" w:cs="AgfaRotisSansSerif"/>
          <w:b/>
          <w:szCs w:val="20"/>
          <w:lang w:eastAsia="de-DE" w:bidi="ar-SA"/>
        </w:rPr>
        <w:tab/>
      </w:r>
    </w:p>
    <w:p w14:paraId="3DC00DBE" w14:textId="66E3D0F0" w:rsidR="00B54550" w:rsidRDefault="0007286D">
      <w:pPr>
        <w:rPr>
          <w:rFonts w:ascii="AgfaRotisSansSerif" w:eastAsia="Times New Roman" w:hAnsi="AgfaRotisSansSerif" w:cs="AgfaRotisSansSerif"/>
          <w:b/>
          <w:szCs w:val="20"/>
          <w:lang w:eastAsia="de-DE" w:bidi="ar-SA"/>
        </w:rPr>
      </w:pPr>
      <w:r>
        <w:rPr>
          <w:rFonts w:ascii="AgfaRotisSansSerif" w:eastAsia="Times New Roman" w:hAnsi="AgfaRotisSansSerif" w:cs="AgfaRotisSansSerif"/>
          <w:b/>
          <w:szCs w:val="20"/>
          <w:lang w:eastAsia="de-DE" w:bidi="ar-SA"/>
        </w:rPr>
        <w:t xml:space="preserve">Betreff: </w:t>
      </w:r>
      <w:r w:rsidR="00FD3218">
        <w:rPr>
          <w:rFonts w:ascii="AgfaRotisSansSerif" w:eastAsia="Times New Roman" w:hAnsi="AgfaRotisSansSerif" w:cs="AgfaRotisSansSerif"/>
          <w:b/>
          <w:szCs w:val="20"/>
          <w:lang w:eastAsia="de-DE" w:bidi="ar-SA"/>
        </w:rPr>
        <w:t>Keine Wiedereinführung des §13b BauGB!</w:t>
      </w:r>
    </w:p>
    <w:p w14:paraId="147226F1" w14:textId="77777777" w:rsidR="00B54550" w:rsidRDefault="00B54550">
      <w:pPr>
        <w:rPr>
          <w:rFonts w:ascii="AgfaRotisSansSerif" w:hAnsi="AgfaRotisSansSerif" w:cs="AgfaRotisSansSerif" w:hint="eastAsia"/>
          <w:b/>
        </w:rPr>
      </w:pPr>
    </w:p>
    <w:p w14:paraId="7A4CAB9C" w14:textId="77777777" w:rsidR="00B54550" w:rsidRDefault="00B54550">
      <w:pPr>
        <w:rPr>
          <w:rFonts w:ascii="AgfaRotisSansSerif" w:hAnsi="AgfaRotisSansSerif" w:cs="AgfaRotisSansSerif" w:hint="eastAsia"/>
        </w:rPr>
      </w:pPr>
    </w:p>
    <w:p w14:paraId="6A608B7C" w14:textId="77777777" w:rsidR="00B54550" w:rsidRDefault="00FD3218">
      <w:pPr>
        <w:rPr>
          <w:rFonts w:hint="eastAsia"/>
        </w:rPr>
      </w:pPr>
      <w:r>
        <w:rPr>
          <w:rFonts w:ascii="AgfaRotisSansSerif" w:hAnsi="AgfaRotisSansSerif" w:cs="AgfaRotisSansSerif"/>
          <w:highlight w:val="yellow"/>
        </w:rPr>
        <w:t xml:space="preserve">Sehr geehrte </w:t>
      </w:r>
      <w:r>
        <w:rPr>
          <w:rFonts w:ascii="AgfaRotisSansSerif" w:eastAsia="Times New Roman" w:hAnsi="AgfaRotisSansSerif" w:cs="AgfaRotisSansSerif"/>
          <w:szCs w:val="20"/>
          <w:highlight w:val="yellow"/>
          <w:lang w:bidi="ar-SA"/>
        </w:rPr>
        <w:t>Frau Ministerin/ sehr geehrter Herr Minister,</w:t>
      </w:r>
    </w:p>
    <w:p w14:paraId="14D41227" w14:textId="77777777" w:rsidR="00B54550" w:rsidRDefault="00B54550">
      <w:pPr>
        <w:rPr>
          <w:rFonts w:ascii="AgfaRotisSansSerif" w:hAnsi="AgfaRotisSansSerif" w:cs="AgfaRotisSansSerif" w:hint="eastAsia"/>
        </w:rPr>
      </w:pPr>
    </w:p>
    <w:p w14:paraId="26C9308B" w14:textId="4D34C4C9" w:rsidR="00B54550" w:rsidRDefault="00FD3218">
      <w:pPr>
        <w:rPr>
          <w:rFonts w:ascii="AgfaRotisSansSerif" w:eastAsia="Times New Roman" w:hAnsi="AgfaRotisSansSerif" w:cs="AgfaRotisSansSerif"/>
          <w:lang w:eastAsia="de-DE"/>
        </w:rPr>
      </w:pPr>
      <w:r>
        <w:rPr>
          <w:rFonts w:ascii="AgfaRotisSansSerif" w:eastAsia="Times New Roman" w:hAnsi="AgfaRotisSansSerif" w:cs="AgfaRotisSansSerif"/>
          <w:lang w:eastAsia="de-DE"/>
        </w:rPr>
        <w:t>anlässlich der anstehenden Einführung eines Gesetzes zur Mobilisierung von Bauland (Baulandmobilisierungsgesetz) rufen wir Sie auf, dem Entwurf für die verlängerte Geltung des §13b BauGB in der Sitzung des Bundesrats nicht zu zustimmen und sich für eine einheitliche Kompensation von Schäden im Innen- und Außenbereich einzusetzen!</w:t>
      </w:r>
    </w:p>
    <w:p w14:paraId="0F581E30" w14:textId="77777777" w:rsidR="00B54550" w:rsidRDefault="00B54550">
      <w:pPr>
        <w:rPr>
          <w:rFonts w:ascii="AgfaRotisSansSerif" w:hAnsi="AgfaRotisSansSerif" w:cs="AgfaRotisSansSerif" w:hint="eastAsia"/>
        </w:rPr>
      </w:pPr>
    </w:p>
    <w:p w14:paraId="428ADB2C" w14:textId="77777777" w:rsidR="00B54550" w:rsidRDefault="00FD3218">
      <w:pPr>
        <w:rPr>
          <w:rFonts w:ascii="AgfaRotisSansSerif" w:eastAsia="Times New Roman" w:hAnsi="AgfaRotisSansSerif" w:cs="AgfaRotisSansSerif"/>
          <w:lang w:eastAsia="de-DE"/>
        </w:rPr>
      </w:pPr>
      <w:r>
        <w:rPr>
          <w:rFonts w:ascii="AgfaRotisSansSerif" w:eastAsia="Times New Roman" w:hAnsi="AgfaRotisSansSerif" w:cs="AgfaRotisSansSerif"/>
          <w:lang w:eastAsia="de-DE"/>
        </w:rPr>
        <w:t>Das Ziel des Gesetzes, auf Empfehlung der Baulandkommission, „nachhaltige Baulandmobilisierung und Bodenpolitik“ zu betreiben, zieht weitere Erleichterungen für das Bauen im Außenbereich nach sich. Teil davon ist die darin integrierte Verlängerung der Geltungsdauer des §13b BauGB.</w:t>
      </w:r>
    </w:p>
    <w:p w14:paraId="6407089D" w14:textId="7C6E3FD0" w:rsidR="00B54550" w:rsidRDefault="00FD3218">
      <w:pPr>
        <w:rPr>
          <w:rFonts w:ascii="AgfaRotisSansSerif" w:eastAsia="Times New Roman" w:hAnsi="AgfaRotisSansSerif" w:cs="AgfaRotisSansSerif"/>
          <w:lang w:eastAsia="de-DE"/>
        </w:rPr>
      </w:pPr>
      <w:r>
        <w:rPr>
          <w:rFonts w:ascii="AgfaRotisSansSerif" w:eastAsia="Times New Roman" w:hAnsi="AgfaRotisSansSerif" w:cs="AgfaRotisSansSerif"/>
          <w:lang w:eastAsia="de-DE"/>
        </w:rPr>
        <w:t>Nach der Evaluierung der Nutzung des §13b BauGB in den Bundesländern im Januar 2019 stellte sich heraus, dass in den Stadtstaaten, also den Bundesländern mit hohem Wohnungsdruck, keine Anwendung des §13b BauGB stattgefunden hat. Es zeigt sich, dass mit der Einführung des §13b BauGB in hohem Maße Ein- und Zweifamilienhäuser im Außenbereich gebaut wurden oder in Planung sind.</w:t>
      </w:r>
    </w:p>
    <w:p w14:paraId="7CE262DF" w14:textId="1F2ED806" w:rsidR="00B54550" w:rsidRDefault="00FD3218">
      <w:pPr>
        <w:rPr>
          <w:rFonts w:ascii="AgfaRotisSansSerif" w:eastAsia="Times New Roman" w:hAnsi="AgfaRotisSansSerif" w:cs="AgfaRotisSansSerif"/>
          <w:lang w:eastAsia="de-DE"/>
        </w:rPr>
      </w:pPr>
      <w:r>
        <w:rPr>
          <w:rFonts w:ascii="AgfaRotisSansSerif" w:eastAsia="Times New Roman" w:hAnsi="AgfaRotisSansSerif" w:cs="AgfaRotisSansSerif"/>
          <w:lang w:eastAsia="de-DE"/>
        </w:rPr>
        <w:t xml:space="preserve">Die Erfahrung aus den letzten Jahren des § aus vielen Ländern zeigt, dass durch den §13b BauGB bei geringem Nutzen für das Schaffen von Wohnraum unverhältnismäßige Eingriffe in die Natur stattfinden. Die tatsächlich in Anspruch genommene durchschnittliche Fläche inklusive Verkehrsflächen (Geltungsbereich der Bebauungspläne) entspricht in etwa dem dreifachen der durchschnittlichen Grundfläche. </w:t>
      </w:r>
    </w:p>
    <w:p w14:paraId="62317C35" w14:textId="77777777" w:rsidR="00FD3218" w:rsidRDefault="00FD3218">
      <w:pPr>
        <w:rPr>
          <w:rFonts w:ascii="AgfaRotisSansSerif" w:eastAsia="Times New Roman" w:hAnsi="AgfaRotisSansSerif" w:cs="AgfaRotisSansSerif"/>
          <w:lang w:eastAsia="de-DE"/>
        </w:rPr>
      </w:pPr>
      <w:r>
        <w:rPr>
          <w:rFonts w:ascii="AgfaRotisSansSerif" w:eastAsia="Times New Roman" w:hAnsi="AgfaRotisSansSerif" w:cs="AgfaRotisSansSerif"/>
          <w:lang w:eastAsia="de-DE"/>
        </w:rPr>
        <w:t xml:space="preserve">Die rechtlich zulässige Größe von 10.000 m² kann somit durchaus auf vier Hektar anwachsen. </w:t>
      </w:r>
    </w:p>
    <w:p w14:paraId="2FB5E7E8" w14:textId="77777777" w:rsidR="00FD3218" w:rsidRDefault="00FD3218">
      <w:pPr>
        <w:rPr>
          <w:rFonts w:ascii="AgfaRotisSansSerif" w:eastAsia="Times New Roman" w:hAnsi="AgfaRotisSansSerif" w:cs="AgfaRotisSansSerif"/>
          <w:lang w:eastAsia="de-DE"/>
        </w:rPr>
      </w:pPr>
    </w:p>
    <w:p w14:paraId="13F7FE2C" w14:textId="1F76E82E" w:rsidR="00B54550" w:rsidRDefault="00FD3218">
      <w:pPr>
        <w:rPr>
          <w:rFonts w:ascii="AgfaRotisSansSerif" w:eastAsia="Times New Roman" w:hAnsi="AgfaRotisSansSerif" w:cs="AgfaRotisSansSerif"/>
          <w:lang w:eastAsia="de-DE"/>
        </w:rPr>
      </w:pPr>
      <w:r>
        <w:rPr>
          <w:rFonts w:ascii="AgfaRotisSansSerif" w:eastAsia="Times New Roman" w:hAnsi="AgfaRotisSansSerif" w:cs="AgfaRotisSansSerif"/>
          <w:lang w:eastAsia="de-DE"/>
        </w:rPr>
        <w:t>Es ist nicht akzeptabel, weiteren Flächenverbrauch zu vereinfachen und damit die Zerstörung von biologischer Vielfalt sowie die Bodenversiegelung zu beschleunigen.</w:t>
      </w:r>
    </w:p>
    <w:p w14:paraId="2BDEACE3" w14:textId="24499D4D" w:rsidR="00B54550" w:rsidRDefault="00FD3218">
      <w:pPr>
        <w:rPr>
          <w:rFonts w:ascii="AgfaRotisSansSerif" w:eastAsia="Times New Roman" w:hAnsi="AgfaRotisSansSerif" w:cs="AgfaRotisSansSerif"/>
          <w:lang w:eastAsia="de-DE"/>
        </w:rPr>
      </w:pPr>
      <w:r>
        <w:rPr>
          <w:rFonts w:ascii="AgfaRotisSansSerif" w:eastAsia="Times New Roman" w:hAnsi="AgfaRotisSansSerif" w:cs="AgfaRotisSansSerif"/>
          <w:lang w:eastAsia="de-DE"/>
        </w:rPr>
        <w:t>Die Wiedereinführung des Paragrafen widerspricht dem Ziel der nationalen Nachhaltigkeitsstrategie der Bundesregierung, den Flächenverbrauch auf unter 30 Hektar pro Tag bis 2030 zu senken. Seit Inkrafttretens des Paragrafen am 13.Mai 2017 bis zur Evaluierung durch das Bundesministerium des Innern, für Bau und Heimat im Mai 2019 sind über 1.800 Bebauungspläne nach §13b durch die Kommunen angewandt (das entspricht laut Antwort der Bundesregierung auf eine Kleine Anfrage der Grünen (23.10.2019) einer Fläche von etwa 2.000 ha). Die damit einhergehende Flächeninanspruchnahme gemäß §13b Bau GB konterkariert die Bemühungen der Bundesregierung.</w:t>
      </w:r>
    </w:p>
    <w:p w14:paraId="3724616C" w14:textId="09BA4CE5" w:rsidR="00FD3218" w:rsidRDefault="00FD3218">
      <w:pPr>
        <w:rPr>
          <w:rFonts w:ascii="AgfaRotisSansSerif" w:eastAsia="Times New Roman" w:hAnsi="AgfaRotisSansSerif" w:cs="AgfaRotisSansSerif"/>
          <w:lang w:eastAsia="de-DE"/>
        </w:rPr>
      </w:pPr>
    </w:p>
    <w:p w14:paraId="4B24ACCE" w14:textId="7B37ECE2" w:rsidR="00FD3218" w:rsidRDefault="00FD3218">
      <w:pPr>
        <w:rPr>
          <w:rFonts w:ascii="AgfaRotisSansSerif" w:eastAsia="Times New Roman" w:hAnsi="AgfaRotisSansSerif" w:cs="AgfaRotisSansSerif"/>
          <w:lang w:eastAsia="de-DE"/>
        </w:rPr>
      </w:pPr>
      <w:r w:rsidRPr="00FD3218">
        <w:rPr>
          <w:rFonts w:ascii="AgfaRotisSansSerif" w:eastAsia="Times New Roman" w:hAnsi="AgfaRotisSansSerif" w:cs="AgfaRotisSansSerif" w:hint="eastAsia"/>
          <w:lang w:eastAsia="de-DE"/>
        </w:rPr>
        <w:t xml:space="preserve">Die Verlängerung der Geltungsdauer von § 13b BauGB widerspricht auch dem </w:t>
      </w:r>
      <w:r>
        <w:rPr>
          <w:rFonts w:ascii="AgfaRotisSansSerif" w:eastAsia="Times New Roman" w:hAnsi="AgfaRotisSansSerif" w:cs="AgfaRotisSansSerif"/>
          <w:lang w:eastAsia="de-DE"/>
        </w:rPr>
        <w:t xml:space="preserve">baden-württembergischen </w:t>
      </w:r>
      <w:r w:rsidRPr="00FD3218">
        <w:rPr>
          <w:rFonts w:ascii="AgfaRotisSansSerif" w:eastAsia="Times New Roman" w:hAnsi="AgfaRotisSansSerif" w:cs="AgfaRotisSansSerif" w:hint="eastAsia"/>
          <w:lang w:eastAsia="de-DE"/>
        </w:rPr>
        <w:t>Koalitionsvertrag: Ziel der neuen Landesregierung ist es, den täglichen Anstieg des Flächenverbrauchs auf maximal 2,5 Hektar zu begrenzen; bis 2035 soll die „Netto-Null“ erreicht werden. Der Auftrag ist im Koalitionsvertrag eindeutig formuliert. Die Landesregierung will den Flächenverbrauch massiv begrenzen und sich auf Bundesebene dafür einsetzen, dass das Baugesetzbuch im Sinne der Leipzig-Charta 2020 viel stärker auf Nachhaltigkeit ausgerichtet wird. Der Zersiedlungs- und Flächenfraß-Paragraf 13b ist nun aber das genaue Gegenteil dieser Ziele.</w:t>
      </w:r>
    </w:p>
    <w:p w14:paraId="189B3E35" w14:textId="77777777" w:rsidR="00B54550" w:rsidRDefault="00B54550">
      <w:pPr>
        <w:rPr>
          <w:rFonts w:ascii="AgfaRotisSansSerif" w:eastAsia="Times New Roman" w:hAnsi="AgfaRotisSansSerif" w:cs="AgfaRotisSansSerif"/>
          <w:lang w:eastAsia="de-DE"/>
        </w:rPr>
      </w:pPr>
    </w:p>
    <w:p w14:paraId="16AE4482" w14:textId="2B878BB2" w:rsidR="00B54550" w:rsidRDefault="00FD3218">
      <w:pPr>
        <w:rPr>
          <w:rFonts w:ascii="AgfaRotisSansSerif" w:eastAsia="Times New Roman" w:hAnsi="AgfaRotisSansSerif" w:cs="AgfaRotisSansSerif"/>
          <w:lang w:eastAsia="de-DE"/>
        </w:rPr>
      </w:pPr>
      <w:r>
        <w:rPr>
          <w:rFonts w:ascii="AgfaRotisSansSerif" w:eastAsia="Times New Roman" w:hAnsi="AgfaRotisSansSerif" w:cs="AgfaRotisSansSerif"/>
          <w:lang w:eastAsia="de-DE"/>
        </w:rPr>
        <w:t>Darüber hinaus ist der Paragraf in der vorliegenden und geplanten Form entsprechend der Analyse der UVP- Gesellschaft und des BUND  (Bund für Umwelt und Naturschutz e.V.) nicht EU-rechtskonform, weil § 13b BauGB gegen die Regelungen der Strategischen-Umweltprüfungs-Richtlinie (SUP-Richtlinie) (2001/42) verstößt.</w:t>
      </w:r>
    </w:p>
    <w:p w14:paraId="0A06ED3B" w14:textId="77777777" w:rsidR="00FD3218" w:rsidRDefault="00FD3218">
      <w:pPr>
        <w:rPr>
          <w:rFonts w:hint="eastAsia"/>
        </w:rPr>
      </w:pPr>
    </w:p>
    <w:p w14:paraId="3686ED1E" w14:textId="46C7A170" w:rsidR="00B54550" w:rsidRDefault="00FD3218">
      <w:pPr>
        <w:rPr>
          <w:rFonts w:ascii="AgfaRotisSansSerif" w:eastAsia="Times New Roman" w:hAnsi="AgfaRotisSansSerif" w:cs="AgfaRotisSansSerif"/>
          <w:lang w:eastAsia="de-DE"/>
        </w:rPr>
      </w:pPr>
      <w:r>
        <w:rPr>
          <w:rFonts w:ascii="AgfaRotisSansSerif" w:eastAsia="Times New Roman" w:hAnsi="AgfaRotisSansSerif" w:cs="AgfaRotisSansSerif"/>
          <w:lang w:eastAsia="de-DE"/>
        </w:rPr>
        <w:t xml:space="preserve">Mittelfristig muss anstelle des §13 BauGB die bestehende Eingriffsregelung des BNatSchG vollumfänglich für Innen- wie Außenbereich anwendbar gemacht werden. Dabei muss auch die </w:t>
      </w:r>
      <w:proofErr w:type="spellStart"/>
      <w:r>
        <w:rPr>
          <w:rFonts w:ascii="AgfaRotisSansSerif" w:eastAsia="Times New Roman" w:hAnsi="AgfaRotisSansSerif" w:cs="AgfaRotisSansSerif"/>
          <w:lang w:eastAsia="de-DE"/>
        </w:rPr>
        <w:t>Verbundsfunktion</w:t>
      </w:r>
      <w:proofErr w:type="spellEnd"/>
      <w:r>
        <w:rPr>
          <w:rFonts w:ascii="AgfaRotisSansSerif" w:eastAsia="Times New Roman" w:hAnsi="AgfaRotisSansSerif" w:cs="AgfaRotisSansSerif"/>
          <w:lang w:eastAsia="de-DE"/>
        </w:rPr>
        <w:t xml:space="preserve"> (Grünzüge) im Rahmen von </w:t>
      </w:r>
      <w:proofErr w:type="spellStart"/>
      <w:r>
        <w:rPr>
          <w:rFonts w:ascii="AgfaRotisSansSerif" w:eastAsia="Times New Roman" w:hAnsi="AgfaRotisSansSerif" w:cs="AgfaRotisSansSerif"/>
          <w:lang w:eastAsia="de-DE"/>
        </w:rPr>
        <w:t>Verbundsplanungen</w:t>
      </w:r>
      <w:proofErr w:type="spellEnd"/>
      <w:r>
        <w:rPr>
          <w:rFonts w:ascii="AgfaRotisSansSerif" w:eastAsia="Times New Roman" w:hAnsi="AgfaRotisSansSerif" w:cs="AgfaRotisSansSerif"/>
          <w:lang w:eastAsia="de-DE"/>
        </w:rPr>
        <w:t xml:space="preserve"> dauerhaft gesichert werden und die Pflicht zur Wiederherstellung des Biotopverbunds begründet werden.</w:t>
      </w:r>
    </w:p>
    <w:p w14:paraId="73891795" w14:textId="77777777" w:rsidR="00FD3218" w:rsidRDefault="00FD3218">
      <w:pPr>
        <w:rPr>
          <w:rFonts w:ascii="AgfaRotisSansSerif" w:eastAsia="Times New Roman" w:hAnsi="AgfaRotisSansSerif" w:cs="AgfaRotisSansSerif"/>
          <w:lang w:eastAsia="de-DE"/>
        </w:rPr>
      </w:pPr>
    </w:p>
    <w:p w14:paraId="71437315" w14:textId="6D5A9D6C" w:rsidR="00B54550" w:rsidRDefault="00FD3218">
      <w:pPr>
        <w:rPr>
          <w:rFonts w:ascii="AgfaRotisSansSerif" w:eastAsia="Times New Roman" w:hAnsi="AgfaRotisSansSerif" w:cs="AgfaRotisSansSerif"/>
          <w:lang w:eastAsia="de-DE"/>
        </w:rPr>
      </w:pPr>
      <w:r>
        <w:rPr>
          <w:rFonts w:ascii="AgfaRotisSansSerif" w:eastAsia="Times New Roman" w:hAnsi="AgfaRotisSansSerif" w:cs="AgfaRotisSansSerif"/>
          <w:lang w:eastAsia="de-DE"/>
        </w:rPr>
        <w:t>Mit dem Blick auf den anhaltenden Verlust an Arten und Lebensräumen sowie die Herausforderungen des Klimawandels braucht es ein klares Signal aus der Landespolitik für lebenswerte Städte, die das Schaffen neuen Wohnraums im Sinne der doppelten Innenentwicklung mit mehr Natur in Dorf und Stadt verbindet! Wir bitten Sie daher um Unterstützung der Anträge zur Abschaffung des §13b BauGB.</w:t>
      </w:r>
    </w:p>
    <w:p w14:paraId="43A2EF01" w14:textId="77777777" w:rsidR="00B54550" w:rsidRDefault="00B54550">
      <w:pPr>
        <w:rPr>
          <w:rFonts w:hint="eastAsia"/>
        </w:rPr>
      </w:pPr>
    </w:p>
    <w:p w14:paraId="5CB7D54D" w14:textId="77777777" w:rsidR="00B54550" w:rsidRDefault="00FD3218">
      <w:pPr>
        <w:rPr>
          <w:rFonts w:ascii="AgfaRotisSansSerif" w:eastAsia="Times New Roman" w:hAnsi="AgfaRotisSansSerif" w:cs="AgfaRotisSansSerif"/>
          <w:lang w:eastAsia="de-DE"/>
        </w:rPr>
      </w:pPr>
      <w:r>
        <w:rPr>
          <w:rFonts w:ascii="AgfaRotisSansSerif" w:eastAsia="Times New Roman" w:hAnsi="AgfaRotisSansSerif" w:cs="AgfaRotisSansSerif"/>
          <w:lang w:eastAsia="de-DE"/>
        </w:rPr>
        <w:t xml:space="preserve">Mit bestem Dank für Ihre Unterstützung und freundlichen Grüßen </w:t>
      </w:r>
    </w:p>
    <w:p w14:paraId="009659A5" w14:textId="77777777" w:rsidR="00B54550" w:rsidRDefault="00B54550">
      <w:pPr>
        <w:rPr>
          <w:rFonts w:ascii="AgfaRotisSansSerif" w:eastAsia="Times New Roman" w:hAnsi="AgfaRotisSansSerif" w:cs="AgfaRotisSansSerif"/>
          <w:lang w:eastAsia="de-DE"/>
        </w:rPr>
      </w:pPr>
    </w:p>
    <w:p w14:paraId="22F9C14C" w14:textId="77777777" w:rsidR="00B54550" w:rsidRDefault="00B54550">
      <w:pPr>
        <w:rPr>
          <w:rFonts w:ascii="AgfaRotisSansSerif" w:eastAsia="Times New Roman" w:hAnsi="AgfaRotisSansSerif" w:cs="AgfaRotisSansSerif"/>
          <w:color w:val="FF0000"/>
          <w:lang w:eastAsia="de-DE"/>
        </w:rPr>
      </w:pPr>
    </w:p>
    <w:p w14:paraId="6279367B" w14:textId="4AE7AE2C" w:rsidR="00B54550" w:rsidRDefault="0007286D">
      <w:pPr>
        <w:rPr>
          <w:rFonts w:hint="eastAsia"/>
        </w:rPr>
      </w:pPr>
      <w:r w:rsidRPr="0007286D">
        <w:rPr>
          <w:rFonts w:ascii="AgfaRotisSansSerif" w:eastAsia="Times New Roman" w:hAnsi="AgfaRotisSansSerif" w:cs="AgfaRotisSansSerif"/>
          <w:color w:val="000000"/>
          <w:highlight w:val="yellow"/>
          <w:lang w:eastAsia="de-DE"/>
        </w:rPr>
        <w:t>Name</w:t>
      </w:r>
    </w:p>
    <w:sectPr w:rsidR="00B54550">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CF3C50" w:usb2="00000016" w:usb3="00000000" w:csb0="0004001F" w:csb1="00000000"/>
  </w:font>
  <w:font w:name="AgfaRotisSansSerif">
    <w:altName w:val="Cambria"/>
    <w:charset w:val="00"/>
    <w:family w:val="roman"/>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550"/>
    <w:rsid w:val="0007286D"/>
    <w:rsid w:val="0021791A"/>
    <w:rsid w:val="00B54550"/>
    <w:rsid w:val="00FD321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328C3"/>
  <w15:docId w15:val="{F20017C7-1E5F-469B-9F50-6069795B2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Lucida Sans"/>
        <w:kern w:val="2"/>
        <w:szCs w:val="24"/>
        <w:lang w:val="de-DE"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41533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3604</Characters>
  <Application>Microsoft Office Word</Application>
  <DocSecurity>0</DocSecurity>
  <Lines>30</Lines>
  <Paragraphs>8</Paragraphs>
  <ScaleCrop>false</ScaleCrop>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Eisinger</dc:creator>
  <dc:description/>
  <cp:lastModifiedBy>Miriam Eisinger</cp:lastModifiedBy>
  <cp:revision>2</cp:revision>
  <dcterms:created xsi:type="dcterms:W3CDTF">2021-05-25T08:33:00Z</dcterms:created>
  <dcterms:modified xsi:type="dcterms:W3CDTF">2021-05-25T08:33:00Z</dcterms:modified>
  <dc:language>de-DE</dc:language>
</cp:coreProperties>
</file>